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3211" w:rsidR="00813211" w:rsidP="00813211" w:rsidRDefault="00813211" w14:paraId="1B7C884E" w14:textId="77777777">
      <w:pPr>
        <w:spacing w:after="225" w:line="240" w:lineRule="auto"/>
        <w:outlineLvl w:val="1"/>
        <w:rPr>
          <w:rFonts w:ascii="Minion Pro" w:hAnsi="Minion Pro" w:eastAsia="Times New Roman" w:cs="Times New Roman"/>
          <w:b/>
          <w:bCs/>
          <w:color w:val="101010"/>
          <w:sz w:val="36"/>
          <w:szCs w:val="36"/>
        </w:rPr>
      </w:pPr>
      <w:r w:rsidRPr="00813211">
        <w:rPr>
          <w:rFonts w:ascii="Minion Pro" w:hAnsi="Minion Pro" w:eastAsia="Times New Roman" w:cs="Times New Roman"/>
          <w:b/>
          <w:bCs/>
          <w:color w:val="101010"/>
          <w:sz w:val="36"/>
          <w:szCs w:val="36"/>
        </w:rPr>
        <w:t>Learning Support Statement</w:t>
      </w:r>
    </w:p>
    <w:p w:rsidRPr="00813211" w:rsidR="00813211" w:rsidP="00813211" w:rsidRDefault="00813211" w14:paraId="1385D003" w14:textId="54B7031B">
      <w:pPr>
        <w:spacing w:after="300" w:line="240" w:lineRule="auto"/>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Scranton Preparatory School is committed to academic excellence.  The curriculum is challenging and rigorous.  We are committed to providing reasonable accommodations to students with identified learning di</w:t>
      </w:r>
      <w:r>
        <w:rPr>
          <w:rFonts w:ascii="Gotham Book" w:hAnsi="Gotham Book" w:eastAsia="Times New Roman" w:cs="Times New Roman"/>
          <w:color w:val="2F2F2F"/>
          <w:sz w:val="24"/>
          <w:szCs w:val="24"/>
        </w:rPr>
        <w:t>fferences</w:t>
      </w:r>
      <w:r w:rsidRPr="00813211">
        <w:rPr>
          <w:rFonts w:ascii="Gotham Book" w:hAnsi="Gotham Book" w:eastAsia="Times New Roman" w:cs="Times New Roman"/>
          <w:color w:val="2F2F2F"/>
          <w:sz w:val="24"/>
          <w:szCs w:val="24"/>
        </w:rPr>
        <w:t xml:space="preserve"> without compromising our competitive program or fundamentally altering our curriculum.</w:t>
      </w:r>
    </w:p>
    <w:p w:rsidRPr="00813211" w:rsidR="00813211" w:rsidP="00813211" w:rsidRDefault="00813211" w14:paraId="0F89B4FF" w14:textId="5CF6CCAB">
      <w:pPr>
        <w:spacing w:after="300" w:line="240" w:lineRule="auto"/>
        <w:rPr>
          <w:rFonts w:ascii="Gotham Book" w:hAnsi="Gotham Book" w:eastAsia="Times New Roman" w:cs="Times New Roman"/>
          <w:color w:val="2F2F2F"/>
          <w:sz w:val="24"/>
          <w:szCs w:val="24"/>
        </w:rPr>
      </w:pPr>
      <w:r w:rsidRPr="30E20EC9" w:rsidR="30E20EC9">
        <w:rPr>
          <w:rFonts w:ascii="Gotham Book" w:hAnsi="Gotham Book" w:eastAsia="Times New Roman" w:cs="Times New Roman"/>
          <w:color w:val="2F2F2F"/>
          <w:sz w:val="24"/>
          <w:szCs w:val="24"/>
        </w:rPr>
        <w:t>Students with diagnosed learning differences may have average or above average intelligence, but there is often a discrepancy between their ability and their achievements in specific areas. We are cognizant of the fact that each of these students possesses unique characteristics and that there is not a “one size fits all” approach. Students who require accommodations must submit proper documentation before services can be provided.  Such documentation must be current, state the specific diagnosis, and provide complete educational, developmental, and relevant medical history, as well as recommended accommodations to be used in the school setting.  Acceptable documentation should not be more than three years old and must be one of the following.</w:t>
      </w:r>
    </w:p>
    <w:p w:rsidRPr="00813211" w:rsidR="00813211" w:rsidP="00813211" w:rsidRDefault="00813211" w14:paraId="30F14D11" w14:textId="77777777">
      <w:pPr>
        <w:numPr>
          <w:ilvl w:val="0"/>
          <w:numId w:val="1"/>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An active I.E.P. provided by the home school district</w:t>
      </w:r>
    </w:p>
    <w:p w:rsidRPr="00813211" w:rsidR="00813211" w:rsidP="00813211" w:rsidRDefault="00813211" w14:paraId="34264205" w14:textId="0C2E1C3C">
      <w:pPr>
        <w:numPr>
          <w:ilvl w:val="0"/>
          <w:numId w:val="1"/>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Documentation from a licensed professional</w:t>
      </w:r>
      <w:r w:rsidR="00B74E5A">
        <w:rPr>
          <w:rFonts w:ascii="Gotham Book" w:hAnsi="Gotham Book" w:eastAsia="Times New Roman" w:cs="Times New Roman"/>
          <w:color w:val="2F2F2F"/>
          <w:sz w:val="24"/>
          <w:szCs w:val="24"/>
        </w:rPr>
        <w:t xml:space="preserve"> p</w:t>
      </w:r>
      <w:r w:rsidRPr="00813211">
        <w:rPr>
          <w:rFonts w:ascii="Gotham Book" w:hAnsi="Gotham Book" w:eastAsia="Times New Roman" w:cs="Times New Roman"/>
          <w:color w:val="2F2F2F"/>
          <w:sz w:val="24"/>
          <w:szCs w:val="24"/>
        </w:rPr>
        <w:t>sychologist , educational psychologist or other qualified professional</w:t>
      </w:r>
    </w:p>
    <w:p w:rsidRPr="00813211" w:rsidR="00813211" w:rsidP="00813211" w:rsidRDefault="00813211" w14:paraId="3ABF802D" w14:textId="77777777">
      <w:pPr>
        <w:spacing w:after="300" w:line="240" w:lineRule="auto"/>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Scranton Prep maintains that qualified students may be allowed:</w:t>
      </w:r>
    </w:p>
    <w:p w:rsidRPr="00813211" w:rsidR="00813211" w:rsidP="00813211" w:rsidRDefault="00813211" w14:paraId="5FA50754" w14:textId="77777777">
      <w:pPr>
        <w:numPr>
          <w:ilvl w:val="0"/>
          <w:numId w:val="2"/>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Extended time (up to 150%) on in-class, mid-term, and final examinations</w:t>
      </w:r>
    </w:p>
    <w:p w:rsidRPr="00813211" w:rsidR="00813211" w:rsidP="00813211" w:rsidRDefault="00813211" w14:paraId="5916F835" w14:textId="77777777">
      <w:pPr>
        <w:numPr>
          <w:ilvl w:val="0"/>
          <w:numId w:val="2"/>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Use of audio versions of textbooks at home</w:t>
      </w:r>
    </w:p>
    <w:p w:rsidRPr="00813211" w:rsidR="00813211" w:rsidP="00813211" w:rsidRDefault="00813211" w14:paraId="613CE929" w14:textId="77777777">
      <w:pPr>
        <w:numPr>
          <w:ilvl w:val="0"/>
          <w:numId w:val="2"/>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Preferential seating</w:t>
      </w:r>
    </w:p>
    <w:p w:rsidRPr="00813211" w:rsidR="00813211" w:rsidP="00813211" w:rsidRDefault="00813211" w14:paraId="78C9B6E9" w14:textId="77777777">
      <w:pPr>
        <w:numPr>
          <w:ilvl w:val="0"/>
          <w:numId w:val="2"/>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Enlarged fonts for assessments</w:t>
      </w:r>
    </w:p>
    <w:p w:rsidRPr="00813211" w:rsidR="00813211" w:rsidP="00813211" w:rsidRDefault="00813211" w14:paraId="6D7B13DC" w14:textId="537BF28E">
      <w:pPr>
        <w:numPr>
          <w:ilvl w:val="0"/>
          <w:numId w:val="2"/>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Alternatives to the use of a Scantron</w:t>
      </w:r>
      <w:r>
        <w:rPr>
          <w:rFonts w:ascii="Gotham Book" w:hAnsi="Gotham Book" w:eastAsia="Times New Roman" w:cs="Times New Roman"/>
          <w:color w:val="2F2F2F"/>
          <w:sz w:val="24"/>
          <w:szCs w:val="24"/>
        </w:rPr>
        <w:t xml:space="preserve"> answer </w:t>
      </w:r>
      <w:r w:rsidRPr="00813211">
        <w:rPr>
          <w:rFonts w:ascii="Gotham Book" w:hAnsi="Gotham Book" w:eastAsia="Times New Roman" w:cs="Times New Roman"/>
          <w:color w:val="2F2F2F"/>
          <w:sz w:val="24"/>
          <w:szCs w:val="24"/>
        </w:rPr>
        <w:t>sheet</w:t>
      </w:r>
    </w:p>
    <w:p w:rsidRPr="00813211" w:rsidR="00813211" w:rsidP="00813211" w:rsidRDefault="00813211" w14:paraId="25B5CBA5" w14:textId="565C7092">
      <w:pPr>
        <w:numPr>
          <w:ilvl w:val="0"/>
          <w:numId w:val="2"/>
        </w:numPr>
        <w:spacing w:before="100" w:beforeAutospacing="1" w:after="100" w:afterAutospacing="1" w:line="240" w:lineRule="auto"/>
        <w:ind w:left="1320"/>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 xml:space="preserve">Assistance from the </w:t>
      </w:r>
      <w:r>
        <w:rPr>
          <w:rFonts w:ascii="Gotham Book" w:hAnsi="Gotham Book" w:eastAsia="Times New Roman" w:cs="Times New Roman"/>
          <w:color w:val="2F2F2F"/>
          <w:sz w:val="24"/>
          <w:szCs w:val="24"/>
        </w:rPr>
        <w:t>Learning</w:t>
      </w:r>
      <w:r w:rsidRPr="00813211">
        <w:rPr>
          <w:rFonts w:ascii="Gotham Book" w:hAnsi="Gotham Book" w:eastAsia="Times New Roman" w:cs="Times New Roman"/>
          <w:color w:val="2F2F2F"/>
          <w:sz w:val="24"/>
          <w:szCs w:val="24"/>
        </w:rPr>
        <w:t xml:space="preserve"> Support Specialist in the areas of self-monitoring of work and behavior habits, organizational skills, motivation to work at a high level, self-advocacy, and overall general support.</w:t>
      </w:r>
    </w:p>
    <w:p w:rsidRPr="00813211" w:rsidR="00813211" w:rsidP="00813211" w:rsidRDefault="00813211" w14:paraId="4A5241FF" w14:textId="668FC74A">
      <w:pPr>
        <w:spacing w:after="300" w:line="240" w:lineRule="auto"/>
        <w:rPr>
          <w:rFonts w:ascii="Gotham Book" w:hAnsi="Gotham Book" w:eastAsia="Times New Roman" w:cs="Times New Roman"/>
          <w:color w:val="2F2F2F"/>
          <w:sz w:val="24"/>
          <w:szCs w:val="24"/>
        </w:rPr>
      </w:pPr>
      <w:r w:rsidRPr="00813211">
        <w:rPr>
          <w:rFonts w:ascii="Gotham Book" w:hAnsi="Gotham Book" w:eastAsia="Times New Roman" w:cs="Times New Roman"/>
          <w:color w:val="2F2F2F"/>
          <w:sz w:val="24"/>
          <w:szCs w:val="24"/>
        </w:rPr>
        <w:t xml:space="preserve">Failure to disclose information regarding your son’s or daughter’s needs hinders the </w:t>
      </w:r>
      <w:r w:rsidR="00B74E5A">
        <w:rPr>
          <w:rFonts w:ascii="Gotham Book" w:hAnsi="Gotham Book" w:eastAsia="Times New Roman" w:cs="Times New Roman"/>
          <w:color w:val="2F2F2F"/>
          <w:sz w:val="24"/>
          <w:szCs w:val="24"/>
        </w:rPr>
        <w:t>s</w:t>
      </w:r>
      <w:r w:rsidRPr="00813211">
        <w:rPr>
          <w:rFonts w:ascii="Gotham Book" w:hAnsi="Gotham Book" w:eastAsia="Times New Roman" w:cs="Times New Roman"/>
          <w:color w:val="2F2F2F"/>
          <w:sz w:val="24"/>
          <w:szCs w:val="24"/>
        </w:rPr>
        <w:t>chool’s ability to give proper support.  We do not modify our curriculum, co-curricular requirements, or behavioral expectations in any way.  We do not evaluate students for possible learning di</w:t>
      </w:r>
      <w:r w:rsidR="00B74E5A">
        <w:rPr>
          <w:rFonts w:ascii="Gotham Book" w:hAnsi="Gotham Book" w:eastAsia="Times New Roman" w:cs="Times New Roman"/>
          <w:color w:val="2F2F2F"/>
          <w:sz w:val="24"/>
          <w:szCs w:val="24"/>
        </w:rPr>
        <w:t>fferences</w:t>
      </w:r>
      <w:r w:rsidRPr="00813211">
        <w:rPr>
          <w:rFonts w:ascii="Gotham Book" w:hAnsi="Gotham Book" w:eastAsia="Times New Roman" w:cs="Times New Roman"/>
          <w:color w:val="2F2F2F"/>
          <w:sz w:val="24"/>
          <w:szCs w:val="24"/>
        </w:rPr>
        <w:t>, but will provide information on testing resources.</w:t>
      </w:r>
    </w:p>
    <w:p w:rsidRPr="00813211" w:rsidR="00813211" w:rsidP="00813211" w:rsidRDefault="00813211" w14:paraId="50BAB14C" w14:textId="454A9A2D">
      <w:pPr>
        <w:spacing w:after="0" w:line="240" w:lineRule="auto"/>
        <w:rPr>
          <w:rFonts w:ascii="Gotham Book" w:hAnsi="Gotham Book" w:eastAsia="Times New Roman" w:cs="Times New Roman"/>
          <w:color w:val="2F2F2F"/>
          <w:sz w:val="24"/>
          <w:szCs w:val="24"/>
        </w:rPr>
      </w:pPr>
      <w:r w:rsidRPr="00813211">
        <w:rPr>
          <w:rFonts w:ascii="Gotham Book" w:hAnsi="Gotham Book" w:eastAsia="Times New Roman" w:cs="Times New Roman"/>
          <w:i/>
          <w:iCs/>
          <w:color w:val="2F2F2F"/>
          <w:sz w:val="24"/>
          <w:szCs w:val="24"/>
        </w:rPr>
        <w:t xml:space="preserve">For more information, please contact </w:t>
      </w:r>
      <w:r>
        <w:rPr>
          <w:rFonts w:ascii="Gotham Book" w:hAnsi="Gotham Book" w:eastAsia="Times New Roman" w:cs="Times New Roman"/>
          <w:i/>
          <w:iCs/>
          <w:color w:val="2F2F2F"/>
          <w:sz w:val="24"/>
          <w:szCs w:val="24"/>
        </w:rPr>
        <w:t xml:space="preserve">your son or daughter’s counselor, or Mrs. Scanlon, Learning Support Specialist at </w:t>
      </w:r>
      <w:r w:rsidRPr="00813211">
        <w:rPr>
          <w:rFonts w:ascii="Gotham Book" w:hAnsi="Gotham Book" w:eastAsia="Times New Roman" w:cs="Times New Roman"/>
          <w:i/>
          <w:iCs/>
          <w:color w:val="2F2F2F"/>
          <w:sz w:val="24"/>
          <w:szCs w:val="24"/>
        </w:rPr>
        <w:t>570-941-7737, ext.</w:t>
      </w:r>
      <w:r>
        <w:rPr>
          <w:rFonts w:ascii="Gotham Book" w:hAnsi="Gotham Book" w:eastAsia="Times New Roman" w:cs="Times New Roman"/>
          <w:i/>
          <w:iCs/>
          <w:color w:val="2F2F2F"/>
          <w:sz w:val="24"/>
          <w:szCs w:val="24"/>
        </w:rPr>
        <w:t xml:space="preserve"> (need extension)</w:t>
      </w:r>
      <w:r w:rsidRPr="00813211">
        <w:rPr>
          <w:rFonts w:ascii="Gotham Book" w:hAnsi="Gotham Book" w:eastAsia="Times New Roman" w:cs="Times New Roman"/>
          <w:i/>
          <w:iCs/>
          <w:color w:val="2F2F2F"/>
          <w:sz w:val="24"/>
          <w:szCs w:val="24"/>
        </w:rPr>
        <w:t>.</w:t>
      </w:r>
    </w:p>
    <w:p w:rsidR="00BA1E8C" w:rsidRDefault="00BA1E8C" w14:paraId="2EF9DE28" w14:textId="77777777"/>
    <w:sectPr w:rsidR="00BA1E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Gotham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31386"/>
    <w:multiLevelType w:val="multilevel"/>
    <w:tmpl w:val="4A644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FA13FE6"/>
    <w:multiLevelType w:val="multilevel"/>
    <w:tmpl w:val="125EE4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23923846">
    <w:abstractNumId w:val="1"/>
  </w:num>
  <w:num w:numId="2" w16cid:durableId="48832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11"/>
    <w:rsid w:val="00813211"/>
    <w:rsid w:val="00B74E5A"/>
    <w:rsid w:val="00BA1E8C"/>
    <w:rsid w:val="30E2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FDA0"/>
  <w15:chartTrackingRefBased/>
  <w15:docId w15:val="{F4813020-A1DA-4D72-A335-F6DD185F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17502">
      <w:bodyDiv w:val="1"/>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Bernard</dc:creator>
  <keywords/>
  <dc:description/>
  <lastModifiedBy>Matthew Bernard</lastModifiedBy>
  <revision>3</revision>
  <dcterms:created xsi:type="dcterms:W3CDTF">2022-12-16T22:17:00.0000000Z</dcterms:created>
  <dcterms:modified xsi:type="dcterms:W3CDTF">2022-12-16T22:32:52.7304206Z</dcterms:modified>
</coreProperties>
</file>